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OLE_LINK1"/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OSNOVNA ŠKOLA MARKOVAC </w:t>
      </w: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</w:t>
      </w:r>
      <w:r w:rsidRPr="00EB62AD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</w:t>
      </w:r>
    </w:p>
    <w:p w:rsidR="008B17B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 258 a</w:t>
      </w:r>
    </w:p>
    <w:p w:rsidR="008B17BD" w:rsidRPr="00EB62A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OIB: 18420588822</w: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EB62A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  <w:t xml:space="preserve">    </w:t>
      </w:r>
    </w:p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Klasa: 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400-02/1</w:t>
      </w:r>
      <w:r w:rsidR="005A0999">
        <w:rPr>
          <w:rFonts w:ascii="Arial" w:eastAsia="Times New Roman" w:hAnsi="Arial" w:cs="Arial"/>
          <w:sz w:val="18"/>
          <w:szCs w:val="24"/>
          <w:lang w:eastAsia="hr-HR"/>
        </w:rPr>
        <w:t>8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-01/1</w:t>
      </w:r>
      <w:r w:rsidRPr="00EB62AD">
        <w:rPr>
          <w:rFonts w:ascii="Arial" w:eastAsia="Times New Roman" w:hAnsi="Arial" w:cs="Arial"/>
          <w:sz w:val="18"/>
          <w:szCs w:val="24"/>
          <w:lang w:eastAsia="hr-HR"/>
        </w:rPr>
        <w:t>;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8B17B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>Ur.br.:</w:t>
      </w:r>
      <w:r w:rsidR="009A3BDE">
        <w:rPr>
          <w:rFonts w:ascii="Arial" w:eastAsia="Times New Roman" w:hAnsi="Arial" w:cs="Times New Roman"/>
          <w:sz w:val="18"/>
          <w:szCs w:val="24"/>
          <w:lang w:eastAsia="hr-HR"/>
        </w:rPr>
        <w:t xml:space="preserve"> 2178/23-02-1</w:t>
      </w:r>
      <w:r w:rsidR="005A0999">
        <w:rPr>
          <w:rFonts w:ascii="Arial" w:eastAsia="Times New Roman" w:hAnsi="Arial" w:cs="Times New Roman"/>
          <w:sz w:val="18"/>
          <w:szCs w:val="24"/>
          <w:lang w:eastAsia="hr-HR"/>
        </w:rPr>
        <w:t>8</w:t>
      </w:r>
      <w:r w:rsidRPr="00EB62AD">
        <w:rPr>
          <w:rFonts w:ascii="Arial" w:eastAsia="Times New Roman" w:hAnsi="Arial" w:cs="Times New Roman"/>
          <w:sz w:val="18"/>
          <w:szCs w:val="24"/>
          <w:lang w:eastAsia="hr-HR"/>
        </w:rPr>
        <w:t>-1</w:t>
      </w:r>
      <w:r w:rsidRPr="00EB62AD">
        <w:rPr>
          <w:rFonts w:ascii="Arial" w:eastAsia="Times New Roman" w:hAnsi="Arial" w:cs="Times New Roman"/>
          <w:sz w:val="20"/>
          <w:szCs w:val="24"/>
          <w:lang w:eastAsia="hr-HR"/>
        </w:rPr>
        <w:tab/>
        <w:t xml:space="preserve">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 xml:space="preserve">   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EB62AD"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</w:t>
      </w:r>
    </w:p>
    <w:p w:rsidR="004024A2" w:rsidRPr="00EB62AD" w:rsidRDefault="001D569C" w:rsidP="004024A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hr-HR"/>
        </w:rPr>
      </w:pPr>
      <w:r>
        <w:rPr>
          <w:rFonts w:ascii="Arial" w:eastAsia="Times New Roman" w:hAnsi="Arial" w:cs="Times New Roman"/>
          <w:sz w:val="16"/>
          <w:szCs w:val="24"/>
          <w:lang w:eastAsia="hr-HR"/>
        </w:rPr>
        <w:pict>
          <v:rect id="_x0000_i1025" style="width:0;height:1.5pt" o:hralign="center" o:hrstd="t" o:hr="t" fillcolor="gray" stroked="f"/>
        </w:pic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hr-HR"/>
        </w:rPr>
      </w:pPr>
    </w:p>
    <w:p w:rsidR="004024A2" w:rsidRPr="00EB62AD" w:rsidRDefault="000834C5" w:rsidP="004024A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Vrbova, </w:t>
      </w:r>
      <w:r w:rsidR="00BC4BD5">
        <w:rPr>
          <w:rFonts w:ascii="Arial" w:eastAsia="Times New Roman" w:hAnsi="Arial" w:cs="Times New Roman"/>
          <w:szCs w:val="24"/>
          <w:lang w:eastAsia="hr-HR"/>
        </w:rPr>
        <w:t>13.11</w:t>
      </w:r>
      <w:r>
        <w:rPr>
          <w:rFonts w:ascii="Arial" w:eastAsia="Times New Roman" w:hAnsi="Arial" w:cs="Times New Roman"/>
          <w:szCs w:val="24"/>
          <w:lang w:eastAsia="hr-HR"/>
        </w:rPr>
        <w:t>.201</w:t>
      </w:r>
      <w:r w:rsidR="005A0999">
        <w:rPr>
          <w:rFonts w:ascii="Arial" w:eastAsia="Times New Roman" w:hAnsi="Arial" w:cs="Times New Roman"/>
          <w:szCs w:val="24"/>
          <w:lang w:eastAsia="hr-HR"/>
        </w:rPr>
        <w:t>8</w:t>
      </w:r>
      <w:r w:rsidR="004024A2" w:rsidRPr="00EB62AD">
        <w:rPr>
          <w:rFonts w:ascii="Arial" w:eastAsia="Times New Roman" w:hAnsi="Arial" w:cs="Times New Roman"/>
          <w:szCs w:val="24"/>
          <w:lang w:eastAsia="hr-HR"/>
        </w:rPr>
        <w:t>. godine</w:t>
      </w:r>
    </w:p>
    <w:p w:rsidR="004024A2" w:rsidRPr="00EB62A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EB62AD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  <w:r w:rsidRPr="009C0DF6">
        <w:t xml:space="preserve">OBRAZLOŽENJE </w:t>
      </w:r>
      <w:r w:rsidR="00BC4BD5">
        <w:t>REBALANSA</w:t>
      </w:r>
      <w:r w:rsidRPr="009C0DF6">
        <w:t xml:space="preserve"> ZA 201</w:t>
      </w:r>
      <w:r w:rsidR="00BC4BD5">
        <w:t>8</w:t>
      </w:r>
      <w:r w:rsidRPr="009C0DF6">
        <w:t xml:space="preserve">. GODINU </w:t>
      </w:r>
    </w:p>
    <w:p w:rsidR="004024A2" w:rsidRPr="009C0DF6" w:rsidRDefault="004024A2" w:rsidP="009C0DF6">
      <w:pPr>
        <w:pStyle w:val="Bezproreda"/>
      </w:pPr>
    </w:p>
    <w:p w:rsidR="008B17BD" w:rsidRPr="009C0DF6" w:rsidRDefault="008B17BD" w:rsidP="009C0DF6">
      <w:pPr>
        <w:pStyle w:val="Bezproreda"/>
      </w:pPr>
    </w:p>
    <w:p w:rsidR="008B17BD" w:rsidRDefault="008B17BD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6FC9" w:rsidRDefault="00806FC9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BC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86001F" w:rsidRDefault="009C0DF6" w:rsidP="009C0DF6">
      <w:pPr>
        <w:pStyle w:val="Bezproreda"/>
      </w:pPr>
      <w:r>
        <w:t xml:space="preserve">Sukladno Uputama </w:t>
      </w:r>
      <w:r w:rsidR="00C978A4">
        <w:t>Upravnog odjela za proračun i financije BPŽ, škola je izradila</w:t>
      </w:r>
      <w:r>
        <w:t xml:space="preserve"> </w:t>
      </w:r>
      <w:r w:rsidR="00C978A4">
        <w:t>rebalans za 2018. te je poslan na usvajanje u BPŽ.</w:t>
      </w:r>
    </w:p>
    <w:p w:rsidR="009C0DF6" w:rsidRDefault="00C978A4" w:rsidP="009C0DF6">
      <w:pPr>
        <w:pStyle w:val="Bezproreda"/>
      </w:pPr>
      <w:r>
        <w:t>Ukupni iznos prihoda i rashoda, planiran i usvojen na početku kal</w:t>
      </w:r>
      <w:r w:rsidR="007A7C26">
        <w:t>endarske godine nije se mijenjao, dok su se iznosi po pozicijama promijenili, ovisno o tome da li se radilo o višku ili manjku na tim pozicijama.</w:t>
      </w:r>
    </w:p>
    <w:p w:rsidR="007A7C26" w:rsidRDefault="007A7C26" w:rsidP="009C0DF6">
      <w:pPr>
        <w:pStyle w:val="Bezproreda"/>
      </w:pPr>
    </w:p>
    <w:p w:rsidR="007A7C26" w:rsidRDefault="007A7C26" w:rsidP="009C0DF6">
      <w:pPr>
        <w:pStyle w:val="Bezproreda"/>
      </w:pPr>
      <w:r>
        <w:t>U nastavku obrazloženja je tablica planiranih prihoda i rashoda na početku godine, ostvareno do dana izrade Rebalansa (što je poslužilo kao smjernica daljnje potrošnje sredstava do kraja godine) te prenamjena iznosa, tj. Rebalans.</w:t>
      </w:r>
    </w:p>
    <w:p w:rsidR="007A7C26" w:rsidRDefault="007A7C26" w:rsidP="009C0DF6">
      <w:pPr>
        <w:pStyle w:val="Bezproreda"/>
      </w:pPr>
    </w:p>
    <w:p w:rsidR="007A7C26" w:rsidRDefault="007A7C26" w:rsidP="009C0DF6">
      <w:pPr>
        <w:pStyle w:val="Bezproreda"/>
      </w:pPr>
    </w:p>
    <w:p w:rsidR="009C0DF6" w:rsidRDefault="009C0DF6" w:rsidP="009C0DF6">
      <w:pPr>
        <w:pStyle w:val="Bezproreda"/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856"/>
        <w:gridCol w:w="3560"/>
        <w:gridCol w:w="1314"/>
        <w:gridCol w:w="1366"/>
        <w:gridCol w:w="1270"/>
      </w:tblGrid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5.2. DECENTRALIZIRANA SREDSTVA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145.164,00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78.689,40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145.164,00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145.164,00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78.689,40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145.164,00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144.214,00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78.463,89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144.114,00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7.081,13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18.064,00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R0254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Službena putovanja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11.500,00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5.262,13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13.604,00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3213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R0255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Stručno usavršavanje zaposlenika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3.500,00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1.175,00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3.500,00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3214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R3856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Ostale naknade troškova zaposlenima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644,00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960,00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84.764,00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36.571,94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68.800,00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R0256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Uredski materijal i ostali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22.338,47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R0257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Energija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13.658,12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lastRenderedPageBreak/>
              <w:t>3224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R0258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Materijal i dijelovi za tekuće i investicijsko održavanje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3225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R0259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Sitni inventar i auto gume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3.964,00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3227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R2546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 xml:space="preserve">Službena radna i zaštitna </w:t>
            </w:r>
            <w:proofErr w:type="spellStart"/>
            <w:r w:rsidRPr="007A7C26">
              <w:t>odijeća</w:t>
            </w:r>
            <w:proofErr w:type="spellEnd"/>
            <w:r w:rsidRPr="007A7C26">
              <w:t xml:space="preserve"> i obuća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800,00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575,35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800,00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usluge Rashodi za usluge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35.800,00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28.854,46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45.600,00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R0260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Usluge telefona, pošte i prijevoza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6.500,00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2.448,39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6.500,00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R0261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Usluge tekućeg i investicijskog održavanja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R0262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Usluge promidžbe i informiranja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R0263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Komunalne usluge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9.000,00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11.821,88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R0264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Zdravstvene i veterinarske usluge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9.500,00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4.415,19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9.500,00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3238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R0265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Računalne usluge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5.600,00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5.600,00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3239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R0266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Ostale usluge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7.169,00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9.000,00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Naknade troškova osobama izvan radnog odnosa Naknade troškova osobama izvan radnog odnosa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3241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R2960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Naknade troškova osobama izvan radnog odnosa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329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Ostali nespomenuti rashodi poslovanja Ostali nespomenuti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8.650,00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5.956,36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11.650,00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3292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R0267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Premije osiguranja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857,27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3293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R0268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Reprezentacija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4.527,59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3294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R0269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Članarine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650,00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650,00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3295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R2587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Pristojbe i naknade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47,50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800,00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3299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R0270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Ostali nespomenuti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224,00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1.200,00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Financijski rashodi Financijski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950,00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225,51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1.050,00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343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Ostali financijski rashodi Ostali financijski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950,00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225,51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1.050,00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3431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R2547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Bankarske usluge i usluge platnog prometa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121,88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250,00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3433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R2548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Zatezne kamate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28,63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3434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R0271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Ostali nespomenuti financijski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75,00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700,00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Aktivnost A600006 Financiranje iznad minimalnog standarda-osnovno školstvo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PLANIRANO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OSTVARENO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REBALANS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3.1. VLASTITI PRIHODI- PK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bookmarkStart w:id="1" w:name="_GoBack"/>
            <w:bookmarkEnd w:id="1"/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R2648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Uredski materijal i ostali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Aktivnost A600006 Financiranje iznad minimalnog standarda-osnovno školstvo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PLANIRANO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OSTVARENO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REBALANS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lastRenderedPageBreak/>
              <w:t>Izvor  4.2. PRIHODI ZA POSEBNE NAMJENE - PK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4.098,89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4.098,89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zaposlene Rashodi za zaposlene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Plaće (Bruto) Plaće (Bruto)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3111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R2051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Plaće za redovan rad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4.098,89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R2843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Službena putovanja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24.800,00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4.098,89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24.800,00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R0272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Materijal i sirovine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24.800,00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4.098,89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24.800,00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3225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R3061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Sitni inventar i auto gume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usluge Rashodi za usluge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R2878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Usluge tekućeg i investicijskog održavanja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Naknade troškova osobama izvan radnog odnosa Naknade troškova osobama izvan radnog odnosa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3241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R2400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Naknade troškova osobama izvan radnog odnosa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329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Ostali nespomenuti rashodi poslovanja Ostali nespomenuti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3292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R0273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Premije osiguranja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nabavu nefinancijske imovine Rashodi za nabavu nefinancijske imovine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nabavu proizvedene dugotrajne imovine Rashodi za nabavu proizvedene dugotrajne imovine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Postrojenja i oprema Postrojenja i oprema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4221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R2091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Uredska oprema i namještaj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4227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R2399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Uređaji, strojevi i oprema za ostale namjene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Aktivnost A600006 Financiranje iznad minimalnog standarda-osnovno školstvo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PLANIRANO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OSTVARENO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REBALANS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5.3. POMOĆI - PK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62.585,70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62.612,50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zaposlene Rashodi za zaposlene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Plaće (Bruto) Plaće (Bruto)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3111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R2057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Plaće za redovan rad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lastRenderedPageBreak/>
              <w:t>312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Ostali rashodi za zaposlene Ostali rashodi za zaposlene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3121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R2952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Ostali nenavedeni rashodi za zaposlene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R2855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Uredski materijal i ostali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3225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R3062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Sitan inventar i auto gume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nabavu nefinancijske imovine Rashodi za nabavu nefinancijske imovine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62.585,70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60.612,50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nabavu proizvedene dugotrajne imovine Rashodi za nabavu proizvedene dugotrajne imovine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62.585,70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60.612,50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Postrojenja i oprema Postrojenja i oprema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60.612,50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60.612,50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4221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R3854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Uredska oprema i namještaj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60.612,50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60.612,50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424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Knjige, umjetnička djela i ostale izložbene vrijednosti Knjige, umjetnička djela i ostale izložbene 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1.973,20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4241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R2092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Knjige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1.973,20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6.2. DONACIJE - PK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R3243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Službena putovanja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Aktivnost A600012 Osiguranje školske prehrane za djecu u riziku od siromaštva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PLANIRANO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OSTVARENO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REBALANS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5.1. POMOĆI - BPŽ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8.200,00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24.204,93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41.652,23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8.200,00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24.204,93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41.652,23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8.200,00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24.204,93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41.652,23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8.200,00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24.204,93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41.652,23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R3295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Materijal i sirovine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8.200,00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24.204,93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41.652,23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Kapitalni projekt K600003 Ulaganja u osnovne škole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5.2. DECENTRALIZIRANA SREDSTVA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nabavu nefinancijske imovine Rashodi za nabavu nefinancijske imovine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lastRenderedPageBreak/>
              <w:t>45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Rashodi za dodatna ulaganja na nefinancijskoj imovini Rashodi za dodatna ulaganja na nefinancijskoj 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451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Dodatna ulaganja na građevinskim objektima Dodatna ulaganja na građevinskim objektima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4511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R0274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Sanacija školskih objekata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Glava 00604 OSTALE JAVNE POTREBE U OBRAZOVANJU,ŠPORTU I KULTURI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Glavni program A05 OBRAZOVANJE, ŠPORT I KULTURA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Program 6000 Odgoj i obrazovanje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 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Aktivnost A600011 Pomoćnici u nastavi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PLANIRANO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OSTVARENO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REBALANS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5.1. POMOĆI - BPŽ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263.836,00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99.892,65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131.636,00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263.836,00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99.892,65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131.636,00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zaposlene Rashodi za zaposlene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253.036,00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79.180,47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101.636,00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Plaće (Bruto) Plaće (Bruto)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78.000,00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61.160,70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78.000,00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3111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R3156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Plaće za redovan rad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78.000,00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61.160,70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78.000,00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Ostali rashodi za zaposlene Ostali rashodi za zaposlene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7.500,00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7.500,00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3121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R3156-1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Darovi pomoćnicima u nastavi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7.500,00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7.500,00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313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Doprinosi na plaće Doprinosi na plaće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169.036,00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10.519,77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16.136,00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3132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R3157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Doprinosi za obvezno zdravstveno osiguranje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14.136,00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9.479,94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14.136,00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3133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R3158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Doprinosi za obvezno osiguranje u slučaju nezaposlenosti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154.900,00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1.039,83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10.800,00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20.712,18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30.000,00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Naknade troškova zaposlenima Naknade troškova zaposlenima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10.800,00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20.712,18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30.000,00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3212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R3159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 xml:space="preserve">Naknade za prijevoz, za rad na terenu </w:t>
            </w:r>
            <w:proofErr w:type="spellStart"/>
            <w:r w:rsidRPr="007A7C26">
              <w:t>iodvojeni</w:t>
            </w:r>
            <w:proofErr w:type="spellEnd"/>
            <w:r w:rsidRPr="007A7C26">
              <w:t xml:space="preserve"> život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10.800,00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20.712,18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30.000,00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Aktivnost A600014 Projekt "Školska shema"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PLANIRANO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OSTVARENO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REBALANS</w:t>
            </w:r>
          </w:p>
        </w:tc>
      </w:tr>
      <w:tr w:rsidR="007A7C26" w:rsidRPr="007A7C26" w:rsidTr="007A7C26">
        <w:trPr>
          <w:trHeight w:val="264"/>
        </w:trPr>
        <w:tc>
          <w:tcPr>
            <w:tcW w:w="648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5.1. POMOĆI - BPŽ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3.153,62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poslovanja Rashodi poslovanja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3.153,62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Materijalni rashodi Materijalni rashodi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3.153,62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Rashodi za materijal i energiju Rashodi za materijal i energiju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3.153,62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5.579,00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3222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R2952-1</w:t>
            </w:r>
          </w:p>
        </w:tc>
        <w:tc>
          <w:tcPr>
            <w:tcW w:w="49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Školska shema</w:t>
            </w:r>
          </w:p>
        </w:tc>
        <w:tc>
          <w:tcPr>
            <w:tcW w:w="128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3.153,62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5.579,00</w:t>
            </w:r>
          </w:p>
        </w:tc>
      </w:tr>
    </w:tbl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"/>
        <w:gridCol w:w="854"/>
        <w:gridCol w:w="3817"/>
        <w:gridCol w:w="1231"/>
        <w:gridCol w:w="1231"/>
        <w:gridCol w:w="1231"/>
      </w:tblGrid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Razdjel 000 PRIHODI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50.539,00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39.433,00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11.106,00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Glava 00002 PRIHODI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50.539,00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39.433,00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11.106,00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3.1. VLASTITI PRIHODI-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od prodaje proizvoda i robe te pruženih usluga i prihodi od donacija Prihodi od prodaje </w:t>
            </w:r>
            <w:proofErr w:type="spellStart"/>
            <w:r w:rsidRPr="007A7C26">
              <w:rPr>
                <w:b/>
                <w:bCs/>
              </w:rPr>
              <w:t>proi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od prodaje proizvoda i robe te pruženih usluga Prihodi od prodaje proizvoda i robe te pružen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6614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P0341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Prihodi od prodaje proizvoda i robe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6614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P0346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Prihod od prodaje proizvoda i robe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1.425,00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4.2. PRIHODI ZA POSEBNE NAMJENE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65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od upravnih i administrativnih pristojbi, pristojbi po posebnim propisima i naknada Prihodi 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652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 posebnim propisima Prihodi po posebnim propisima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6526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P0086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Ostali nespomenuti prihodi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27.430,00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5.395,50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27.430,00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5.1. POMOĆI - BPŽ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Pomoći iz inozemstva i od subjekata unutar općeg proračuna Pomoći iz inozemstva i od subjekata </w:t>
            </w:r>
            <w:proofErr w:type="spellStart"/>
            <w:r w:rsidRPr="007A7C26">
              <w:rPr>
                <w:b/>
                <w:bCs/>
              </w:rPr>
              <w:t>unuta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634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Pomoći od izvanproračunskih korisnika Pomoći od izvanproračunskih korisnika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6361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P0287-2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Školska shema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5.579,00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639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PROJEKT - POMOĆNICI U NASTAVI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671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OSIGURANJE PREHRANE DJECE U RIZIKU OD SIROMAŠTVA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5.2. DECENTRALIZIRANA SREDSTVA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67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iz nadležnog proračuna i od HZZO-a temeljem ugovornih obveza Prihodi iz nadležnog proračuna 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671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iz nadležnog proračuna za financiranje redovne djelatnosti proračunskih korisnika Prihodi iz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6711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P0244-2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Decentralizirana sredstva za Materijalne rashode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5.3. POMOĆI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68.191,50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68.191,50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lastRenderedPageBreak/>
              <w:t>63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Pomoći iz inozemstva i od subjekata unutar općeg proračuna Pomoći iz inozemstva i od subjekata </w:t>
            </w:r>
            <w:proofErr w:type="spellStart"/>
            <w:r w:rsidRPr="007A7C26">
              <w:rPr>
                <w:b/>
                <w:bCs/>
              </w:rPr>
              <w:t>unuta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68.191,50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Pomoći proračunu iz drugih proračuna Pomoći proračunu iz drugih proračuna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P0287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pomoći iz proračuna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6341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P0244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pomoći od ostalih subjekata unutar općeg proračuna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6341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P0244-1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pomoći od ostalih izvanproračunskih korisnika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5.000,00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636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Pomoći proračunskim korisnicima iz proračuna koji im nije nadležan Pomoći proračunskim korisnicima i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6.579,00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32.612,50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62.612,50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6361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P0287-1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 xml:space="preserve">Tekuće pomoći proračunskim korisnicima iz proračuna koji </w:t>
            </w:r>
            <w:proofErr w:type="spellStart"/>
            <w:r w:rsidRPr="007A7C26">
              <w:t>imne</w:t>
            </w:r>
            <w:proofErr w:type="spellEnd"/>
            <w:r w:rsidRPr="007A7C26">
              <w:t xml:space="preserve"> nadležan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2.000,00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6362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P0551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Kapitalne pomoći proračunskim korisnicima iz proračuna koji im nije nadležan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30.612,50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60.612,50</w:t>
            </w:r>
          </w:p>
        </w:tc>
      </w:tr>
      <w:tr w:rsidR="007A7C26" w:rsidRPr="007A7C26" w:rsidTr="007A7C26">
        <w:trPr>
          <w:trHeight w:val="264"/>
        </w:trPr>
        <w:tc>
          <w:tcPr>
            <w:tcW w:w="6540" w:type="dxa"/>
            <w:gridSpan w:val="3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Izvor  6.2. DONACIJE - PK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Prihodi poslovanja Prihodi poslovanja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Prihodi od prodaje proizvoda i robe te pruženih usluga i prihodi od donacija Prihodi od prodaje </w:t>
            </w:r>
            <w:proofErr w:type="spellStart"/>
            <w:r w:rsidRPr="007A7C26">
              <w:rPr>
                <w:b/>
                <w:bCs/>
              </w:rPr>
              <w:t>proi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408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663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 xml:space="preserve">Donacije od pravnih i fizičkih osoba izvan općeg proračuna Donacije od pravnih i fizičkih osoba </w:t>
            </w:r>
            <w:proofErr w:type="spellStart"/>
            <w:r w:rsidRPr="007A7C26">
              <w:rPr>
                <w:b/>
                <w:bCs/>
              </w:rPr>
              <w:t>izva</w:t>
            </w:r>
            <w:proofErr w:type="spellEnd"/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  <w:rPr>
                <w:b/>
                <w:bCs/>
              </w:rPr>
            </w:pPr>
            <w:r w:rsidRPr="007A7C26">
              <w:rPr>
                <w:b/>
                <w:bCs/>
              </w:rPr>
              <w:t>1.530,00</w:t>
            </w:r>
          </w:p>
        </w:tc>
      </w:tr>
      <w:tr w:rsidR="007A7C26" w:rsidRPr="007A7C26" w:rsidTr="007A7C26">
        <w:trPr>
          <w:trHeight w:val="264"/>
        </w:trPr>
        <w:tc>
          <w:tcPr>
            <w:tcW w:w="72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6631</w:t>
            </w:r>
          </w:p>
        </w:tc>
        <w:tc>
          <w:tcPr>
            <w:tcW w:w="8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P0381</w:t>
            </w:r>
          </w:p>
        </w:tc>
        <w:tc>
          <w:tcPr>
            <w:tcW w:w="496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Tekuće donacije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1.530,00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0,00</w:t>
            </w:r>
          </w:p>
        </w:tc>
        <w:tc>
          <w:tcPr>
            <w:tcW w:w="1300" w:type="dxa"/>
            <w:hideMark/>
          </w:tcPr>
          <w:p w:rsidR="007A7C26" w:rsidRPr="007A7C26" w:rsidRDefault="007A7C26" w:rsidP="007A7C26">
            <w:pPr>
              <w:pStyle w:val="Bezproreda"/>
            </w:pPr>
            <w:r w:rsidRPr="007A7C26">
              <w:t>1.530,00</w:t>
            </w:r>
          </w:p>
        </w:tc>
      </w:tr>
    </w:tbl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715" w:rsidRDefault="004024A2" w:rsidP="00806FC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51715">
        <w:rPr>
          <w:rFonts w:eastAsia="Times New Roman" w:cs="Times New Roman"/>
          <w:b/>
          <w:lang w:eastAsia="hr-HR"/>
        </w:rPr>
        <w:t xml:space="preserve"> </w:t>
      </w:r>
      <w:bookmarkEnd w:id="0"/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P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D1556" w:rsidRDefault="00806FC9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Obrazloženje sastavila: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="00DD1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Ravnateljica škole:</w:t>
      </w:r>
    </w:p>
    <w:p w:rsidR="00EC1A27" w:rsidRPr="00EF1B4D" w:rsidRDefault="00DD1556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Melita </w:t>
      </w:r>
      <w:proofErr w:type="spellStart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Selichar</w:t>
      </w:r>
      <w:proofErr w:type="spellEnd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EC1A27" w:rsidRPr="00EF1B4D" w:rsidSect="00CE72A1">
      <w:footerReference w:type="default" r:id="rId7"/>
      <w:pgSz w:w="11906" w:h="16838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9C" w:rsidRDefault="001D569C" w:rsidP="004024A2">
      <w:pPr>
        <w:spacing w:after="0" w:line="240" w:lineRule="auto"/>
      </w:pPr>
      <w:r>
        <w:separator/>
      </w:r>
    </w:p>
  </w:endnote>
  <w:endnote w:type="continuationSeparator" w:id="0">
    <w:p w:rsidR="001D569C" w:rsidRDefault="001D569C" w:rsidP="0040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C9" w:rsidRDefault="0014514E">
    <w:pPr>
      <w:pStyle w:val="Podnoje"/>
      <w:rPr>
        <w:sz w:val="18"/>
        <w:szCs w:val="18"/>
      </w:rPr>
    </w:pPr>
    <w:r>
      <w:rPr>
        <w:sz w:val="18"/>
        <w:szCs w:val="18"/>
      </w:rPr>
      <w:t>Rebalans 2018.</w:t>
    </w:r>
  </w:p>
  <w:p w:rsidR="0014514E" w:rsidRDefault="0014514E">
    <w:pPr>
      <w:pStyle w:val="Podnoje"/>
      <w:rPr>
        <w:sz w:val="18"/>
        <w:szCs w:val="18"/>
      </w:rPr>
    </w:pPr>
  </w:p>
  <w:p w:rsidR="00CE72A1" w:rsidRPr="00DA1C9A" w:rsidRDefault="00033155">
    <w:pPr>
      <w:pStyle w:val="Podnoje"/>
      <w:rPr>
        <w:sz w:val="18"/>
        <w:szCs w:val="18"/>
      </w:rPr>
    </w:pP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9C" w:rsidRDefault="001D569C" w:rsidP="004024A2">
      <w:pPr>
        <w:spacing w:after="0" w:line="240" w:lineRule="auto"/>
      </w:pPr>
      <w:r>
        <w:separator/>
      </w:r>
    </w:p>
  </w:footnote>
  <w:footnote w:type="continuationSeparator" w:id="0">
    <w:p w:rsidR="001D569C" w:rsidRDefault="001D569C" w:rsidP="0040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7A6"/>
    <w:multiLevelType w:val="hybridMultilevel"/>
    <w:tmpl w:val="7AC698FE"/>
    <w:lvl w:ilvl="0" w:tplc="B7720C9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7E70BB"/>
    <w:multiLevelType w:val="hybridMultilevel"/>
    <w:tmpl w:val="A956FC4E"/>
    <w:lvl w:ilvl="0" w:tplc="0932FDF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486"/>
    <w:multiLevelType w:val="hybridMultilevel"/>
    <w:tmpl w:val="80C69D96"/>
    <w:lvl w:ilvl="0" w:tplc="3E50F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F77E50"/>
    <w:multiLevelType w:val="hybridMultilevel"/>
    <w:tmpl w:val="DEE21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2"/>
    <w:rsid w:val="0001045B"/>
    <w:rsid w:val="00033155"/>
    <w:rsid w:val="000739B1"/>
    <w:rsid w:val="000834C5"/>
    <w:rsid w:val="00111386"/>
    <w:rsid w:val="0014514E"/>
    <w:rsid w:val="001D569C"/>
    <w:rsid w:val="00372383"/>
    <w:rsid w:val="004024A2"/>
    <w:rsid w:val="00486D4F"/>
    <w:rsid w:val="00497488"/>
    <w:rsid w:val="004A1538"/>
    <w:rsid w:val="005446D6"/>
    <w:rsid w:val="00561B3D"/>
    <w:rsid w:val="005A0999"/>
    <w:rsid w:val="005E18FF"/>
    <w:rsid w:val="005F5048"/>
    <w:rsid w:val="007735C9"/>
    <w:rsid w:val="00773C2C"/>
    <w:rsid w:val="007A7C26"/>
    <w:rsid w:val="00806FC9"/>
    <w:rsid w:val="008B17BD"/>
    <w:rsid w:val="009A3BDE"/>
    <w:rsid w:val="009C0DF6"/>
    <w:rsid w:val="009E1BF2"/>
    <w:rsid w:val="00A167A8"/>
    <w:rsid w:val="00B16630"/>
    <w:rsid w:val="00B541A1"/>
    <w:rsid w:val="00BC073D"/>
    <w:rsid w:val="00BC4BD5"/>
    <w:rsid w:val="00BE2F52"/>
    <w:rsid w:val="00C978A4"/>
    <w:rsid w:val="00CD5663"/>
    <w:rsid w:val="00CE72A1"/>
    <w:rsid w:val="00D373F4"/>
    <w:rsid w:val="00D51715"/>
    <w:rsid w:val="00D8735B"/>
    <w:rsid w:val="00DD1556"/>
    <w:rsid w:val="00DE01F3"/>
    <w:rsid w:val="00DE7AC7"/>
    <w:rsid w:val="00EC1A27"/>
    <w:rsid w:val="00ED0ADF"/>
    <w:rsid w:val="00EF1B4D"/>
    <w:rsid w:val="00FB25E0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B62B-CD26-456B-B629-467D032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A2"/>
  </w:style>
  <w:style w:type="character" w:styleId="Hiperveza">
    <w:name w:val="Hyperlink"/>
    <w:basedOn w:val="Zadanifontodlomka"/>
    <w:uiPriority w:val="99"/>
    <w:unhideWhenUsed/>
    <w:rsid w:val="004024A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A2"/>
  </w:style>
  <w:style w:type="paragraph" w:styleId="Tekstbalonia">
    <w:name w:val="Balloon Text"/>
    <w:basedOn w:val="Normal"/>
    <w:link w:val="TekstbaloniaChar"/>
    <w:uiPriority w:val="99"/>
    <w:semiHidden/>
    <w:unhideWhenUsed/>
    <w:rsid w:val="0008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C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0DF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A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Racunalo11</cp:lastModifiedBy>
  <cp:revision>8</cp:revision>
  <cp:lastPrinted>2017-01-04T08:46:00Z</cp:lastPrinted>
  <dcterms:created xsi:type="dcterms:W3CDTF">2018-10-05T10:41:00Z</dcterms:created>
  <dcterms:modified xsi:type="dcterms:W3CDTF">2018-12-19T09:03:00Z</dcterms:modified>
</cp:coreProperties>
</file>