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b729731694492d"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11880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O.Š. MARKOVAC, VRBOVA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278.174,07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311.013,29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278.157,33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336.610,71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25.597,42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45.997,11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45.997,11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71.594,53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Većinu ukupnih rashoda škole čini skupina 31 Rashodi za zaposlene. Povećanje rashoda u ovom izvještajnom razdoblju rezultat je ukidanja konta 193 i priznavanja sedam rashoda za plaće. Manjak prihoda i primitaka je vezan uz trošak plaće za lipanj 2025. čija se sredstva doznačuju 10.07.2025.
Rashodi na skupini 451 Dodatna ulaganja na građevinskim objektima u iznosu od 45.997,11eura  odnose se na obnovu krova na područnoj školi.</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iz proračuna koji im nije nadležan (šifre 6361+6362)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259.314,86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288.709,06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111,3</w:t>
            </w:r>
          </w:p>
        </w:tc>
      </w:tr>
    </w:tbl>
    <w:p>
      <w:pPr>
        <w:spacing w:before="0" w:after="0"/>
      </w:pPr>
    </w:p>
    <w:p>
      <w:pPr>
        <w:jc w:val="both"/>
        <w:pStyle w:val="Normal"/>
        <w:spacing w:line="240" w:lineRule="auto"/>
      </w:pPr>
      <w:r>
        <w:rPr>
          <w:sz w:val="24"/>
          <w:rFonts w:ascii="Times New Roman" w:hAnsi="Times New Roman"/>
        </w:rPr>
        <w:t>Prihodi pod šifrom 636 odnose se na prihode iz Ministarstva znanosti i obrazovanja koji se odnose na plaće i materijalna prava zaposlenika koji su  uvećani u odnosu na prošlu godinu jer su rasle plaće zaposlenih u školstvu (povećanje plaće Uredbom o novim koeficijentima za izračun plaće zaposlenih u javnim službama koje je stupilo na snagu 1. ožujka 2024. godine), na prihode koje škola dobiva za financiranje prehrane za učenike škole (ukupno 6.557,24) te ostale prihode MZOM te sredstva za osiguranje zaliha besplatnih menstrualnih higijenskih potrepština  111,42.
Prihodi 636 odnose se i na kapitalne pomoći, odnosno na sredstva od općine za obnovu krova na područnoj školi. </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15.371,76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Prihodi za  obnovu krova na područnoj školi u Komarnici.</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između proračunskih korisnika istog proračuna (šifre 6391 do 6394)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2.945,83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Prihodi 639 od prošle godine za razdoblje od 1-6.2024.  su za isplatu plaće pomoćnicima u nastavi, a u razdoblju od 1-6.2025. nije bilo pomoćnika u nastavi.</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900</w:t>
            </w:r>
          </w:p>
        </w:tc>
      </w:tr>
    </w:tbl>
    <w:p>
      <w:pPr>
        <w:spacing w:before="0" w:after="0"/>
      </w:pPr>
    </w:p>
    <w:p>
      <w:pPr>
        <w:jc w:val="both"/>
        <w:pStyle w:val="Normal"/>
        <w:spacing w:line="240" w:lineRule="auto"/>
      </w:pPr>
      <w:r>
        <w:rPr>
          <w:sz w:val="24"/>
          <w:rFonts w:ascii="Times New Roman" w:hAnsi="Times New Roman"/>
        </w:rPr>
        <w:t>Prihodi od donacija koje je škola dobila za provedbu programa SchoolFood, "Činimo dobro otiskom srca".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i od HZZO-a na temelju ugovornih obveza (šifre 671+673)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15.288,40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17.804,23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116,5</w:t>
            </w:r>
          </w:p>
        </w:tc>
      </w:tr>
    </w:tbl>
    <w:p>
      <w:pPr>
        <w:spacing w:before="0" w:after="0"/>
      </w:pPr>
    </w:p>
    <w:p>
      <w:pPr>
        <w:jc w:val="both"/>
        <w:pStyle w:val="Normal"/>
        <w:spacing w:line="240" w:lineRule="auto"/>
      </w:pPr>
      <w:r>
        <w:rPr>
          <w:sz w:val="24"/>
          <w:rFonts w:ascii="Times New Roman" w:hAnsi="Times New Roman"/>
        </w:rPr>
        <w:t>Prihodi pod šifrom 67 odnose se na decentralizirana sredstva koje škola dobiva od osnivača za financiranje redovite djelatnosti škole, i odnose se na materijalne rashode škole.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278.157,33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336.610,71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121,0</w:t>
            </w:r>
          </w:p>
        </w:tc>
      </w:tr>
    </w:tbl>
    <w:p>
      <w:pPr>
        <w:spacing w:before="0" w:after="0"/>
      </w:pPr>
    </w:p>
    <w:p>
      <w:pPr>
        <w:jc w:val="both"/>
        <w:pStyle w:val="Normal"/>
        <w:spacing w:line="240" w:lineRule="auto"/>
      </w:pPr>
      <w:r>
        <w:rPr>
          <w:sz w:val="24"/>
          <w:rFonts w:ascii="Times New Roman" w:hAnsi="Times New Roman"/>
        </w:rPr>
        <w:t>Škola je u ovoj godini ostvarila  rashode u iznosu od 336.610,71eura.
Oni se odnose na rashode za zaposlene (šifra 31 u iznosu od 297.766,82 eur), koji su povećani u odnosu na prošlo polugodište zbog povećanja plaće (povećanje koeficijenata). Šifra 312 odnosi se na materijalna prava zaposlenih (regres, jubilarne nagrade itd.) i ona su na razini prethodne godine.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prekovremeni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2.262,09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Konto 3113 i 3114 su smanjeni jer su u 2025. godine knjiženi na 3111.</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1.257,36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3.165,06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251,7</w:t>
            </w:r>
          </w:p>
        </w:tc>
      </w:tr>
    </w:tbl>
    <w:p>
      <w:pPr>
        <w:spacing w:before="0" w:after="0"/>
      </w:pPr>
    </w:p>
    <w:p>
      <w:pPr>
        <w:jc w:val="both"/>
        <w:pStyle w:val="Normal"/>
        <w:spacing w:line="240" w:lineRule="auto"/>
      </w:pPr>
      <w:r>
        <w:rPr>
          <w:sz w:val="24"/>
          <w:rFonts w:ascii="Times New Roman" w:hAnsi="Times New Roman"/>
        </w:rPr>
        <w:t>31321 bilježi porast u odnosu na prethodnu godinu jer škola ima nove zaposlenike u administraciji koji su išli na stručna usavršavanja i samim time uz povećane troškove stručnih usavršavanja povećali su se i troškovi službenih putovanja.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Energija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1.249,72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2.429,23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194,4</w:t>
            </w:r>
          </w:p>
        </w:tc>
      </w:tr>
    </w:tbl>
    <w:p>
      <w:pPr>
        <w:spacing w:before="0" w:after="0"/>
      </w:pPr>
    </w:p>
    <w:p>
      <w:pPr>
        <w:jc w:val="both"/>
        <w:pStyle w:val="Normal"/>
        <w:spacing w:line="240" w:lineRule="auto"/>
      </w:pPr>
      <w:r>
        <w:rPr>
          <w:sz w:val="24"/>
          <w:rFonts w:ascii="Times New Roman" w:hAnsi="Times New Roman"/>
        </w:rPr>
        <w:t>Troškovi električne energije su povećani jer se u školi od rujna 2024-e godine koristi kuhinja, kuhaju se obroci, a i zbog poskupljenja iste.
Rashodi za el. energiju 2.275,05
Gorivo za košnju 154,18</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4.192,69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5.862,17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139,8</w:t>
            </w:r>
          </w:p>
        </w:tc>
      </w:tr>
    </w:tbl>
    <w:p>
      <w:pPr>
        <w:spacing w:before="0" w:after="0"/>
      </w:pPr>
    </w:p>
    <w:p>
      <w:pPr>
        <w:jc w:val="both"/>
        <w:pStyle w:val="Normal"/>
        <w:spacing w:line="240" w:lineRule="auto"/>
      </w:pPr>
      <w:r>
        <w:rPr>
          <w:sz w:val="24"/>
          <w:rFonts w:ascii="Times New Roman" w:hAnsi="Times New Roman"/>
        </w:rPr>
        <w:t>Troškovi interneta, telefona i poštarine za razdoblje 1-6.2025. ne odskaču od troškova za polugodište 2024, a trošak taxi prijevoza je veći zbog poskupljenja goriva i usluge prijevoza učenika.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1.713,14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130,5</w:t>
            </w:r>
          </w:p>
        </w:tc>
      </w:tr>
    </w:tbl>
    <w:p>
      <w:pPr>
        <w:spacing w:before="0" w:after="0"/>
      </w:pPr>
    </w:p>
    <w:p>
      <w:pPr>
        <w:jc w:val="both"/>
        <w:pStyle w:val="Normal"/>
        <w:spacing w:line="240" w:lineRule="auto"/>
      </w:pPr>
      <w:r>
        <w:rPr>
          <w:sz w:val="24"/>
          <w:rFonts w:ascii="Times New Roman" w:hAnsi="Times New Roman"/>
        </w:rPr>
        <w:t>Troškovi zdravstvenih usluga povećani su u odnosu na prethodno razdoblje zbog poskupljenja usluge sistematskog pregleda, a i zbog većeg broja osoba koje su stekle pravo na redovni pregled prema Kolektivnom ugovoru.</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Računalne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1.149,20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723,56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63,0</w:t>
            </w:r>
          </w:p>
        </w:tc>
      </w:tr>
    </w:tbl>
    <w:p>
      <w:pPr>
        <w:spacing w:before="0" w:after="0"/>
      </w:pPr>
    </w:p>
    <w:p>
      <w:pPr>
        <w:jc w:val="both"/>
        <w:pStyle w:val="Normal"/>
        <w:spacing w:line="240" w:lineRule="auto"/>
      </w:pPr>
      <w:r>
        <w:rPr>
          <w:sz w:val="24"/>
          <w:rFonts w:ascii="Times New Roman" w:hAnsi="Times New Roman"/>
        </w:rPr>
        <w:t>Troškovi računalnih usluga su smanjeni jer je škola u razdoblju od 1.-6.2024. imala nove zaposlenike kojima je bilo potrebno omogućiti rad Fina certifikatima, a stare certifikate je bilo potrebno opozvati i platiti trošak.</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 preneseni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35.544,50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25.139,41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70,7</w:t>
            </w:r>
          </w:p>
        </w:tc>
      </w:tr>
    </w:tbl>
    <w:p>
      <w:pPr>
        <w:spacing w:before="0" w:after="0"/>
      </w:pPr>
    </w:p>
    <w:p>
      <w:pPr>
        <w:jc w:val="both"/>
        <w:pStyle w:val="Normal"/>
        <w:spacing w:line="240" w:lineRule="auto"/>
      </w:pPr>
      <w:r>
        <w:rPr>
          <w:sz w:val="24"/>
          <w:rFonts w:ascii="Times New Roman" w:hAnsi="Times New Roman"/>
        </w:rPr>
        <w:t>Višak od uplate u 2023. godini od općine koji se u ovoj godini zajedno za prihodom od 15.371,76 eura troši za obnovu krova na područnoj školi.</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45.997,11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Rashodi za obnovu krova na područnoj školi.</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46.455,12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Škola ostvaruje manjak prihoda. Manjak se odnosi na troškove plaće za lipanj, čije prihode priznajemo u mjesecu srpnju na datum isplate.</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11.075,47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u iznosu od 8.915,81 na kontu 24511 Dodatna ulaganja na građevinskim objektima, nisu podmirena jer škola nije imala dovoljno sredstava na računu. Uplatom općine na račun, škola će podnijeti zahtjev za plaćanjem računa u mjesecu srpnju.
Dospjele obveze odnose se na račune za školsku kuhinju za svibanj. Osnivač nam plaća račune tek po primitku sredstava za školsku kuhinju od MZOM-a. Sredstva za školsku kuhinju za svibanj su doznačena tek 30.06.2025., a računi su plaćeni 02.07.2025.</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d0da9ac00e33491b" /></Relationships>
</file>